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74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bookmarkStart w:id="0" w:name="quanwen"/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74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附  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74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74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2"/>
          <w:szCs w:val="4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2"/>
          <w:szCs w:val="42"/>
          <w:shd w:val="clear" w:color="auto" w:fill="FFFFFF"/>
          <w:lang w:val="en-US" w:eastAsia="zh-CN" w:bidi="ar-SA"/>
        </w:rPr>
        <w:t>2024年河南省质量标杆名单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74"/>
        <w:jc w:val="center"/>
        <w:textAlignment w:val="auto"/>
        <w:rPr>
          <w:rFonts w:hint="default" w:ascii="Times New Roman" w:hAnsi="Times New Roman" w:eastAsia="楷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（排名不分先后）</w:t>
      </w:r>
    </w:p>
    <w:tbl>
      <w:tblPr>
        <w:tblStyle w:val="6"/>
        <w:tblW w:w="9660" w:type="dxa"/>
        <w:tblInd w:w="-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945"/>
        <w:gridCol w:w="4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u w:val="none"/>
                <w:lang w:val="en-US" w:eastAsia="zh-CN" w:bidi="ar"/>
              </w:rPr>
              <w:t>经验名称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郑州煤矿机械集团股份有限公司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实施基于“QC MAP”模式的质量管理体系提升质量管理的经验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郑州圣莱特空心微珠新材料有限公司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构建实施“用研供产服”五精质量管理模式实践经验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河南省超亚医药器械有限公司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实施以客户需求为导向的全生命周期数智化管理经验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郑州多元智能装备股份有限公司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基于智能CBB（共用模块）提升综合经营效率的管理经验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郑州深澜动力科技有限公司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产品全生命周期智能化监管解决方案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河南万达铝业有限公司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工艺精准化“6T”过程质量管控的经验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河南省新之林机电设备有限公司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基于六西格玛管理方法打造“零缺陷”生产的实施经验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郑州三华科技实业有限公司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构建“双环驱动+”的高质量管理模式实施经验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郑州正方科技有限公司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基于大数据平台驱动电池安全管理“质变”的实践经验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亚普汽车部件（开封）有限公司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基于“5G”的全流程数字化质量管控经验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开封仪表有限公司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实施信息化+精益化提升质量管理水平的经验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立邦涂料（河南）有限公司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实施基于信息化、智能化的全生命周期绿色化实践经验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洛阳轴承研究所有限公司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实施数字化打造精品轴承的质量管理经验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中车洛阳机车有限公司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实施“三能一体系+机车全寿命”质量管理创新的经验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汝阳杜康酿酒有限公司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实施现代生物技术改进窖池白酒传统工艺技术的经验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洛阳鸿元轴承科技有限公司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实施轴承智能工厂“精益创新+绿色智造”驱动质量提升的经验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中铝河南洛阳铝加工有限公司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实施技术创新+智能制造促进产品质量提升的实践经验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洛阳中硅高科技有限公司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实施“四化式”新型化工质量管理创新模式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洛阳利尔功能材料有限公司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实施创新驱动+数智赋能耐材质量提升的经验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河南中托力合化学有限公司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实施基于“三层一体”煤制油精加工管理模式的经验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舞钢神州重工金属复合材料有限公司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实施精准化质量控制管理实践经验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库柏爱迪生（平顶山）电子科技有限公司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实施全流程质量管理模式的实践经验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河南省嘉北科技有限公司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实施“1+3”质量管理模式的实践经验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平高集团智能电气有限公司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基于卓越绩效管理和评价的精益质量管理探索与实践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河南四通精密模具有限公司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基于生产工艺标准化“6M PDCA管理模型”管理方法的实践经验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河南永胜玻璃科技股份有限公司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实施“5+4”模式提升乳白玻璃瓶质量的经验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中维化纤股份有限公司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基于“一体化+智能化”的生产全过程质量管理的经验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新乡日升数控轴承装备股份有限公司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基于追求全价值链发展的“一核四精双赋能”质量管理方法经验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拓新药业集团股份有限公司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实施“IPD研发创新+三零管理”的经验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新乡华锐锂电新能源股份有限公司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实施“三驱五化”融合发展的质量管理实践经验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新乡市七星钎焊科技有限公司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实施基于顾客零距离的“SDM”质量提升的经验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河南神州精工制造股份有限公司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实施数字化赋能的全面自主质量管理实践经验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河南中冶起重机集团有限公司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基于“四化一中心”实施高质量发展的典型经验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基于远程运维提升产品设计与服务质量的经验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河南京华食品科技开发有限公司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实施基于云平台的全生命周期食品安全质量 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沁阳市立标滤膜有限公司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基于数智化的质量创新实践经验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大咖国际食品有限公司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实施食品全生命周期数字化理与追溯的经验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焦作市凯诺电子有限公司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实施“113”精益管理模式的实践经验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河南华瑞兴业防水科技有限公司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基于高度数字化的绿色建材质量管控经验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濮阳国诚空气净化技术有限公司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实施“协调创新机制实现个性化定制模式”的经验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河南省路科威公路机械制造有限公司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基于“PSRI模式”提升专业设备制造质量的实践经验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濮阳市汇元药业有限公司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实施以科技创新为核心的药品全过程风险控制的管理经验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濮阳市鑫业特种润滑油脂有限公司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以全生命周期绿色化实现润滑油脂质量提升的经验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许继电气股份有限公司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实施特高压设备全寿命周期“110”质量管控的经验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河南环宇玻璃科技股份有限公司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基于“四维十二策”精益生产的管理经验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许昌裕同印刷包装有限公司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构建数据驱动全过程质量协同管控模式的实践经验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河南帷幄电气有限公司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基于客户满意的全面质量管理提升的实践经验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许昌三顺研磨材料有限公司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实施“四化、两柱”的研磨材料质量提升经验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河南石力金刚石制品股份有限公司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“产品设计制造一体化全生命周期管理体系”的典型经验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虹峰电缆有限公司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基于信息化的SPC质量管理经验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河南永光电力科技有限公司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基于数字化的精益化质量管理方法的实践经验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灵宝宝鑫电子科技有限公司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实施数字化赋能“5SPDCA”精益管理经验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南阳格瑞光电科技股份有限公司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实施基于“创新驱动+数智管理”提升质量水平的实践经验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卧龙电气南阳防爆集团股份有限公司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基于智能制造实现柔性生产的实践经验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南阳市一通防爆电气有限公司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基于“网络化协同制造平台”的创新质量管理模式的实践经验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河南鼎能电子科技有限公司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实施基于产业链数字化协同的质量管理系统的经验实践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洁士美建材科技有限公司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实施“3+5”质量管理模式的经验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信阳市灵石科技有限公司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构建以“S-M-G”驱动的高质量管理模式的实施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河南五谷春酒业股份有限公司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实施匠心四体系循环管控质量创新模式的经验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河南省新四方制药有限公司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实施药品全生命周期数智化质量管理的经验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河南金泽兰纺织科技股份有限公司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实施基于智能制造的服装柔性化生产质量管控的经验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河南森罗家居有限公司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实施个性化定制+信息化协同质效双生管理模式实践经验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益海（周口）粮油工业有限公司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构建全价值链发展的“12506”质量管控模式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鹿邑县澄明食品有限公司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实施“闭环管控+智能制造”双驱动全生命周期食品安全追溯的经验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河南惠强新能源材料科技股份有限公司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基于FCMSD循环的关键过程零缺陷改进经验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河南省百蓓佳卫生用品有限公司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实施智能制造推动全价值链品控管理的经验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河南省泌花食品有限公司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基于市场导向的全方位质量管理体系构建与实施的经验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河南济钢精品钢材有限公司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实施“精益+N”多维精益管理模式的经验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济源市鲁泰纳米材料有限公司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实施“五化协同”驱动质量全面提升实践经验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郑州统一企业有限公司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基于"食安防线+品质把关+SOP标准" 全流程信息化管理系统的创新实践经验</w:t>
            </w:r>
          </w:p>
        </w:tc>
      </w:tr>
    </w:tbl>
    <w:p>
      <w:pPr>
        <w:spacing w:line="620" w:lineRule="exact"/>
        <w:rPr>
          <w:rFonts w:hint="default" w:ascii="Times New Roman" w:hAnsi="Times New Roman" w:cs="Times New Roman" w:eastAsiaTheme="minorEastAsia"/>
          <w:color w:val="auto"/>
          <w:sz w:val="21"/>
          <w:szCs w:val="24"/>
        </w:rPr>
      </w:pPr>
    </w:p>
    <w:p>
      <w:pPr>
        <w:widowControl w:val="0"/>
        <w:spacing w:after="120" w:line="620" w:lineRule="exact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spacing w:line="620" w:lineRule="exact"/>
        <w:rPr>
          <w:rFonts w:cs="宋体"/>
          <w:color w:val="auto"/>
        </w:rPr>
      </w:pPr>
    </w:p>
    <w:p>
      <w:pPr>
        <w:spacing w:line="620" w:lineRule="exact"/>
        <w:rPr>
          <w:rFonts w:cs="宋体"/>
          <w:color w:val="auto"/>
        </w:rPr>
      </w:pPr>
    </w:p>
    <w:bookmarkEnd w:id="0"/>
    <w:p>
      <w:pPr>
        <w:spacing w:line="620" w:lineRule="exact"/>
        <w:rPr>
          <w:rFonts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640" w:rightChars="200" w:firstLine="0" w:firstLineChars="0"/>
        <w:jc w:val="right"/>
        <w:textAlignment w:val="auto"/>
        <w:outlineLvl w:val="9"/>
        <w:rPr>
          <w:rFonts w:hint="default" w:ascii="Times New Roman" w:hAnsi="Times New Roman" w:eastAsia="仿宋" w:cs="Times New Roman"/>
          <w:spacing w:val="-6"/>
          <w:szCs w:val="32"/>
        </w:rPr>
      </w:pPr>
    </w:p>
    <w:p>
      <w:pPr>
        <w:widowControl w:val="0"/>
        <w:spacing w:after="120" w:line="620" w:lineRule="exact"/>
        <w:jc w:val="both"/>
        <w:rPr>
          <w:rFonts w:hint="default" w:ascii="Times New Roman" w:hAnsi="Times New Roman" w:eastAsia="仿宋_GB2312" w:cs="宋体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20" w:line="6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20" w:line="6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20" w:line="6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20" w:line="6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tabs>
                <w:tab w:val="left" w:pos="3780"/>
                <w:tab w:val="left" w:pos="4140"/>
              </w:tabs>
              <w:spacing w:line="360" w:lineRule="exact"/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201" w:type="dxa"/>
            <w:noWrap w:val="0"/>
            <w:vAlign w:val="top"/>
          </w:tcPr>
          <w:p>
            <w:pPr>
              <w:tabs>
                <w:tab w:val="left" w:pos="3780"/>
                <w:tab w:val="left" w:pos="4140"/>
              </w:tabs>
              <w:spacing w:line="6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河南省工业和信息化厅办公室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2024年7月2日印发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780"/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240" w:lineRule="auto"/>
        <w:ind w:right="-717" w:rightChars="-224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123190</wp:posOffset>
            </wp:positionV>
            <wp:extent cx="1790700" cy="476250"/>
            <wp:effectExtent l="0" t="0" r="0" b="0"/>
            <wp:wrapNone/>
            <wp:docPr id="3" name="图片 3" descr="豫工信创新〔2024〕132号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豫工信创新〔2024〕132号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</w:t>
      </w:r>
    </w:p>
    <w:sectPr>
      <w:footerReference r:id="rId5" w:type="first"/>
      <w:headerReference r:id="rId3" w:type="default"/>
      <w:footerReference r:id="rId4" w:type="default"/>
      <w:pgSz w:w="11907" w:h="16840"/>
      <w:pgMar w:top="1417" w:right="1417" w:bottom="1417" w:left="1417" w:header="1020" w:footer="1304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2C59"/>
    <w:rsid w:val="1EDB1D2D"/>
    <w:rsid w:val="49BD1AFC"/>
    <w:rsid w:val="6F3B212C"/>
    <w:rsid w:val="70042192"/>
    <w:rsid w:val="717B2C59"/>
    <w:rsid w:val="7A4C0FC0"/>
    <w:rsid w:val="EBBF0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line="620" w:lineRule="exact"/>
      <w:jc w:val="both"/>
    </w:pPr>
    <w:rPr>
      <w:rFonts w:ascii="Times New Roman" w:hAnsi="Times New Roman" w:eastAsia="仿宋_GB2312" w:cs="宋体"/>
      <w:kern w:val="2"/>
      <w:sz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宋体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="宋体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font31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2024-06-27T18:27:00Z</dcterms:created>
  <dc:creator>lzh</dc:creator>
  <cp:lastModifiedBy>huanghe</cp:lastModifiedBy>
  <dcterms:modified xsi:type="dcterms:W3CDTF">2024-07-11T17:57:57Z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