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line="600" w:lineRule="exact"/>
        <w:ind w:firstLine="0" w:firstLineChars="0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2"/>
          <w:szCs w:val="42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2"/>
          <w:szCs w:val="42"/>
          <w:lang w:val="en-US" w:eastAsia="zh-CN"/>
        </w:rPr>
        <w:t>河南省28个重点产业链清单</w:t>
      </w:r>
    </w:p>
    <w:tbl>
      <w:tblPr>
        <w:tblStyle w:val="3"/>
        <w:tblW w:w="85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6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产业链名称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先进超硬材料产业链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尼龙新材料产业链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先进铝基材料产业链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先进铜基材料产业链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先进合金材料（钨钼钛镁等）产业链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化工新材料产业链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先进钢铁材料产业链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绿色建筑材料产业链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绿色建筑产业链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新型显示和智能终端产业链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智能传感器和半导体产业链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先进计算产业链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新型电力（新能源）装备产业链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先进工程机械产业链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先进农机装备产业链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机器人和数控机床产业链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航空航天及卫星应用产业链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节能环保装备产业链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高端医疗器械及卫材产业链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休闲食品产业链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冷链食品产业链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预制菜产业链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酒饮品产业链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现代家居产业链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1020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8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default" w:ascii="Times New Roman" w:hAnsi="Times New Roman" w:eastAsia="仿宋_GB2312" w:cs="Times New Roman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635EC"/>
    <w:rsid w:val="375635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2024-05-24T08:01:00Z</dcterms:created>
  <dc:creator>尘夏</dc:creator>
  <cp:lastModifiedBy>尘夏</cp:lastModifiedBy>
  <dcterms:modified xsi:type="dcterms:W3CDTF">2024-05-24T08:01:32Z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