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2023年享受增值税加计抵减政策先进制造业企业名单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填报单位（公章）：                       填报时间：    年    月   日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15"/>
        <w:gridCol w:w="1665"/>
        <w:gridCol w:w="2475"/>
        <w:gridCol w:w="2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是否设立非法人分支机构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如是，各分支机构的名称及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……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GI0OGI1YmE5MzcwMTQxOTQ4ZDI2YWJkNTAwYjQifQ=="/>
  </w:docVars>
  <w:rsids>
    <w:rsidRoot w:val="7D3E1D1E"/>
    <w:rsid w:val="7D3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2023-10-09T01:10:00Z</dcterms:created>
  <dc:creator>哆哆粑粑</dc:creator>
  <cp:lastModifiedBy>哆哆粑粑</cp:lastModifiedBy>
  <dcterms:modified xsi:type="dcterms:W3CDTF">2023-10-09T01:20:08Z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7C777B7B3158498ABE47E7E41C9CAC0E_11</vt:lpwstr>
  </property>
</Properties>
</file>