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附件23</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rPr>
      </w:pPr>
      <w:bookmarkStart w:id="0" w:name="_GoBack"/>
      <w:r>
        <w:rPr>
          <w:rFonts w:hint="default" w:ascii="Times New Roman" w:hAnsi="Times New Roman" w:eastAsia="方正小标宋_GBK" w:cs="Times New Roman"/>
          <w:sz w:val="42"/>
          <w:szCs w:val="42"/>
          <w:lang w:val="en-US" w:eastAsia="zh-CN"/>
        </w:rPr>
        <w:t>休闲食品产业链绿色化升级改造实施指南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基本情况</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eastAsia="仿宋" w:cs="Times New Roman"/>
          <w:color w:val="000000"/>
          <w:kern w:val="0"/>
          <w:sz w:val="31"/>
          <w:szCs w:val="31"/>
          <w:lang w:val="en-US" w:eastAsia="zh-CN" w:bidi="ar"/>
        </w:rPr>
        <w:t>膨化</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、烘焙</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、豆类</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、果蔬</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、肉蛋奶</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、坚果炒货</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eastAsia="仿宋" w:cs="Times New Roman"/>
          <w:color w:val="000000"/>
          <w:kern w:val="0"/>
          <w:sz w:val="31"/>
          <w:szCs w:val="31"/>
          <w:lang w:val="en-US" w:eastAsia="zh-CN" w:bidi="ar"/>
        </w:rPr>
        <w:t>、糖果</w:t>
      </w:r>
      <w:r>
        <w:rPr>
          <w:rFonts w:hint="default" w:ascii="Times New Roman" w:hAnsi="Times New Roman" w:cs="Times New Roman"/>
          <w:color w:val="000000"/>
          <w:kern w:val="0"/>
          <w:sz w:val="31"/>
          <w:szCs w:val="31"/>
          <w:lang w:val="en-US" w:eastAsia="zh-CN" w:bidi="ar"/>
        </w:rPr>
        <w:t>食品</w:t>
      </w:r>
      <w:r>
        <w:rPr>
          <w:rFonts w:hint="default" w:ascii="Times New Roman" w:hAnsi="Times New Roman" w:cs="Times New Roman"/>
          <w:lang w:val="en-US" w:eastAsia="zh-CN"/>
        </w:rPr>
        <w:t>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rPr>
        <w:t>（一）</w:t>
      </w:r>
      <w:r>
        <w:rPr>
          <w:rFonts w:hint="default" w:ascii="Times New Roman" w:hAnsi="Times New Roman" w:eastAsia="楷体" w:cs="Times New Roman"/>
          <w:lang w:val="en-US"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rPr>
      </w:pPr>
      <w:r>
        <w:rPr>
          <w:rFonts w:hint="default" w:ascii="Times New Roman" w:hAnsi="Times New Roman" w:cs="Times New Roman"/>
          <w:lang w:val="en-US" w:eastAsia="zh-CN"/>
        </w:rPr>
        <w:t>加强</w:t>
      </w:r>
      <w:r>
        <w:rPr>
          <w:rFonts w:hint="default" w:ascii="Times New Roman" w:hAnsi="Times New Roman" w:cs="Times New Roman"/>
        </w:rPr>
        <w:t>清洗废水收集方式优化</w:t>
      </w:r>
      <w:r>
        <w:rPr>
          <w:rFonts w:hint="default" w:ascii="Times New Roman" w:hAnsi="Times New Roman" w:cs="Times New Roman"/>
          <w:lang w:val="en-US" w:eastAsia="zh-CN"/>
        </w:rPr>
        <w:t>技术、</w:t>
      </w:r>
      <w:r>
        <w:rPr>
          <w:rFonts w:hint="default" w:ascii="Times New Roman" w:hAnsi="Times New Roman" w:cs="Times New Roman"/>
          <w:color w:val="000000"/>
          <w:kern w:val="0"/>
          <w:sz w:val="31"/>
          <w:szCs w:val="31"/>
          <w:lang w:val="en-US" w:eastAsia="zh-CN" w:bidi="ar"/>
        </w:rPr>
        <w:t>烘干余热利用技术、绿色</w:t>
      </w:r>
      <w:r>
        <w:rPr>
          <w:rFonts w:hint="default" w:ascii="Times New Roman" w:hAnsi="Times New Roman" w:eastAsia="仿宋" w:cs="Times New Roman"/>
          <w:color w:val="000000"/>
          <w:kern w:val="0"/>
          <w:sz w:val="31"/>
          <w:szCs w:val="31"/>
          <w:lang w:val="en-US" w:eastAsia="zh-CN" w:bidi="ar"/>
        </w:rPr>
        <w:t>包装</w:t>
      </w:r>
      <w:r>
        <w:rPr>
          <w:rFonts w:hint="default" w:ascii="Times New Roman" w:hAnsi="Times New Roman" w:cs="Times New Roman"/>
          <w:color w:val="000000"/>
          <w:kern w:val="0"/>
          <w:sz w:val="31"/>
          <w:szCs w:val="31"/>
          <w:lang w:val="en-US" w:eastAsia="zh-CN" w:bidi="ar"/>
        </w:rPr>
        <w:t>等关键核心技术攻关。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eastAsia="仿宋" w:cs="Times New Roman"/>
          <w:color w:val="000000"/>
          <w:kern w:val="0"/>
          <w:sz w:val="31"/>
          <w:szCs w:val="31"/>
          <w:lang w:val="en-US" w:eastAsia="zh-CN" w:bidi="ar"/>
        </w:rPr>
        <w:t>加</w:t>
      </w:r>
      <w:r>
        <w:rPr>
          <w:rFonts w:hint="default" w:ascii="Times New Roman" w:hAnsi="Times New Roman" w:cs="Times New Roman"/>
          <w:color w:val="000000"/>
          <w:kern w:val="0"/>
          <w:sz w:val="31"/>
          <w:szCs w:val="31"/>
          <w:lang w:val="en-US" w:eastAsia="zh-CN" w:bidi="ar"/>
        </w:rPr>
        <w:t>强</w:t>
      </w:r>
      <w:r>
        <w:rPr>
          <w:rFonts w:hint="default" w:ascii="Times New Roman" w:hAnsi="Times New Roman" w:eastAsia="仿宋" w:cs="Times New Roman"/>
          <w:color w:val="000000"/>
          <w:kern w:val="0"/>
          <w:sz w:val="31"/>
          <w:szCs w:val="31"/>
          <w:lang w:val="en-US" w:eastAsia="zh-CN" w:bidi="ar"/>
        </w:rPr>
        <w:t>具有减量、降解、回收、可循环、信息嵌入、工业打印等为特性的食品绿色包装技术在休闲食品领域的应用。</w:t>
      </w:r>
      <w:r>
        <w:rPr>
          <w:rFonts w:hint="default" w:ascii="Times New Roman" w:hAnsi="Times New Roman" w:cs="Times New Roman"/>
          <w:color w:val="000000"/>
          <w:kern w:val="0"/>
          <w:sz w:val="31"/>
          <w:szCs w:val="31"/>
          <w:lang w:val="en-US" w:eastAsia="zh-CN" w:bidi="ar"/>
        </w:rPr>
        <w:t>加快</w:t>
      </w:r>
      <w:r>
        <w:rPr>
          <w:rFonts w:hint="default" w:ascii="Times New Roman" w:hAnsi="Times New Roman" w:eastAsia="仿宋" w:cs="Times New Roman"/>
          <w:color w:val="000000"/>
          <w:kern w:val="0"/>
          <w:sz w:val="31"/>
          <w:szCs w:val="31"/>
          <w:lang w:val="en-US" w:eastAsia="zh-CN" w:bidi="ar"/>
        </w:rPr>
        <w:t>植物提取物、植物基食品、生物合成食品、精准营养重组等休闲食品</w:t>
      </w:r>
      <w:r>
        <w:rPr>
          <w:rFonts w:hint="default" w:ascii="Times New Roman" w:hAnsi="Times New Roman" w:cs="Times New Roman"/>
          <w:color w:val="000000"/>
          <w:kern w:val="0"/>
          <w:sz w:val="31"/>
          <w:szCs w:val="31"/>
          <w:lang w:val="en-US" w:eastAsia="zh-CN" w:bidi="ar"/>
        </w:rPr>
        <w:t>等</w:t>
      </w:r>
      <w:r>
        <w:rPr>
          <w:rFonts w:hint="default" w:ascii="Times New Roman" w:hAnsi="Times New Roman" w:cs="Times New Roman"/>
          <w:lang w:val="en-US" w:eastAsia="zh-CN"/>
        </w:rPr>
        <w:t>绿色低碳先进适用技术改造。加强数字化集群烘房及冷凝水回收技术、高浓度含糖废水综合利用技术、干法剥皮技术等先进节水技术应用。实施技术装备迭代升级改造，实现整体能效水平提升。</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加快</w:t>
      </w:r>
      <w:r>
        <w:rPr>
          <w:rFonts w:hint="default" w:ascii="Times New Roman" w:hAnsi="Times New Roman" w:cs="Times New Roman"/>
        </w:rPr>
        <w:t>麦去皮机、切片机、油炸机磨浆机、压榨机、真空包装机</w:t>
      </w:r>
      <w:r>
        <w:rPr>
          <w:rFonts w:hint="default" w:ascii="Times New Roman" w:hAnsi="Times New Roman" w:cs="Times New Roman"/>
          <w:lang w:eastAsia="zh-CN"/>
        </w:rPr>
        <w:t>、</w:t>
      </w:r>
      <w:r>
        <w:rPr>
          <w:rFonts w:hint="default" w:ascii="Times New Roman" w:hAnsi="Times New Roman" w:cs="Times New Roman"/>
          <w:lang w:val="en-US" w:eastAsia="zh-CN"/>
        </w:rPr>
        <w:t>清洗机、</w:t>
      </w:r>
      <w:r>
        <w:rPr>
          <w:rFonts w:hint="default" w:ascii="Times New Roman" w:hAnsi="Times New Roman" w:cs="Times New Roman"/>
        </w:rPr>
        <w:t>烘箱</w:t>
      </w:r>
      <w:r>
        <w:rPr>
          <w:rFonts w:hint="default" w:ascii="Times New Roman" w:hAnsi="Times New Roman" w:cs="Times New Roman"/>
          <w:lang w:val="en-US" w:eastAsia="zh-CN"/>
        </w:rPr>
        <w:t>等关键装备升级改造。</w:t>
      </w: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w:t>
      </w:r>
      <w:r>
        <w:rPr>
          <w:rFonts w:hint="default" w:ascii="Times New Roman" w:hAnsi="Times New Roman" w:cs="Times New Roman"/>
          <w:lang w:val="en-US" w:eastAsia="zh-CN"/>
        </w:rPr>
        <w:t>加快应用</w:t>
      </w:r>
      <w:r>
        <w:rPr>
          <w:rFonts w:hint="default" w:ascii="Times New Roman" w:hAnsi="Times New Roman" w:cs="Times New Roman"/>
        </w:rPr>
        <w:t>风机、泵、</w:t>
      </w:r>
      <w:r>
        <w:rPr>
          <w:rFonts w:hint="default" w:ascii="Times New Roman" w:hAnsi="Times New Roman" w:cs="Times New Roman"/>
          <w:lang w:eastAsia="zh-CN"/>
        </w:rPr>
        <w:t>空压机</w:t>
      </w:r>
      <w:r>
        <w:rPr>
          <w:rFonts w:hint="default" w:ascii="Times New Roman" w:hAnsi="Times New Roman" w:cs="Times New Roman"/>
        </w:rPr>
        <w:t>等电机系统节能技术，加快应用离心式风机、水泵等二次方转矩特性类负载与高效节能电机匹配技术、低速大转矩直驱技术、高速直驱技术、伺服驱动技术等，提高电机系统效率和质量。</w:t>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973CF6-75FC-475C-B981-3B326AAB8E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48A9BBF2-4468-41C4-80B0-A1C2526FAA79}"/>
  </w:font>
  <w:font w:name="楷体">
    <w:panose1 w:val="02010609060101010101"/>
    <w:charset w:val="86"/>
    <w:family w:val="auto"/>
    <w:pitch w:val="default"/>
    <w:sig w:usb0="800002BF" w:usb1="38CF7CFA" w:usb2="00000016" w:usb3="00000000" w:csb0="00040001" w:csb1="00000000"/>
    <w:embedRegular r:id="rId3" w:fontKey="{576F9373-0FA3-45DB-8A34-F3994729DD02}"/>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126AE53A-1850-437A-9B8C-EA3223837B3B}"/>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0C50C"/>
    <w:multiLevelType w:val="singleLevel"/>
    <w:tmpl w:val="42C0C5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5A076D5"/>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autoRedefine/>
    <w:qFormat/>
    <w:uiPriority w:val="0"/>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