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附件21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生物医药产业链绿色化升级改造实施指南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化学药、生物药、中药等重点产品生产过程绿色化改造。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（一）技术升级路径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加强规模化精纯制备技术、高通量靶向筛选技术等绿色关键共性技术攻关，采用大数据、AI仿真模拟等技术开展原研药基础研发应用。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（二）工艺改造路径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应用连续性反应技术和生物酶催化工艺，在提升反应稳定性和成效的同时减少能源使用。实施真空浓缩系统、真空带式干燥机改造，通过控调控真空度对物料沸点进行控制，推广余热余压利用技术，减少能源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分散式风电、新型储能、氢能、高效热泵、余热余压利用、智慧能源管控等一体化系统的工业绿色微电网，优化能源结构，推进多能高效互补利用，提高终端用能新型能源比重。鼓励</w:t>
      </w:r>
      <w:r>
        <w:rPr>
          <w:rFonts w:hint="default" w:ascii="Times New Roman" w:hAnsi="Times New Roman" w:cs="Times New Roman"/>
        </w:rPr>
        <w:t>建立设备、系统、工厂三层级能效诊断系统，</w:t>
      </w:r>
      <w:r>
        <w:rPr>
          <w:rFonts w:hint="default" w:ascii="Times New Roman" w:hAnsi="Times New Roman" w:cs="Times New Roman"/>
          <w:lang w:val="en-US" w:eastAsia="zh-CN"/>
        </w:rPr>
        <w:t>建设数字化能碳管理中心，</w:t>
      </w:r>
      <w:r>
        <w:rPr>
          <w:rFonts w:hint="default" w:ascii="Times New Roman" w:hAnsi="Times New Roman" w:cs="Times New Roman"/>
        </w:rPr>
        <w:t>推动能</w:t>
      </w:r>
      <w:r>
        <w:rPr>
          <w:rFonts w:hint="default" w:ascii="Times New Roman" w:hAnsi="Times New Roman" w:cs="Times New Roman"/>
          <w:lang w:val="en-US" w:eastAsia="zh-CN"/>
        </w:rPr>
        <w:t>碳</w:t>
      </w:r>
      <w:r>
        <w:rPr>
          <w:rFonts w:hint="default" w:ascii="Times New Roman" w:hAnsi="Times New Roman" w:cs="Times New Roman"/>
        </w:rPr>
        <w:t>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加快干燥机、清洗机、灭菌器、装箱机、打包机、封口机等关键设备升级改造。实施电机、风机、泵、空压机、变压器等重点用能产品设备更新升级改造，改造后须达到强制性能效标准2级及以上。</w:t>
      </w:r>
      <w:r>
        <w:rPr>
          <w:rFonts w:hint="default" w:ascii="Times New Roman" w:hAnsi="Times New Roman" w:cs="Times New Roman"/>
        </w:rPr>
        <w:t>加快应用高效节能电机匹配技术、低速大转矩直驱技术、高速直驱技术、伺服驱动技术等，提高电机系统效率和质量。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2A6634-152C-4AB4-9ED1-2D6ADBACED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F89080-0168-4620-B88D-4C3E7208850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47CB0E1-7B93-403C-B0E9-94CE6E60F6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D7E2D76-E83E-42A5-9A50-BCBDB31B62A3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0DF2B1C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