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附件19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航空航天及卫星应用产业链绿色化升级改造实施指南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航空机载装备、航空航天关键零部件、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卫星地面设备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等重点产品生产过程绿色化改造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针对航空机载装备、航空航天关键零部件、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卫星地面设备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等重点产品，</w:t>
      </w:r>
      <w:r>
        <w:rPr>
          <w:rFonts w:hint="default" w:ascii="Times New Roman" w:hAnsi="Times New Roman" w:cs="Times New Roman"/>
          <w:lang w:val="en-US" w:eastAsia="zh-CN"/>
        </w:rPr>
        <w:t>开展“绿色+”技术迭代升级。加强航空器分布式气动布局技术、翼身结构、风扇结构轻量化设计技术、能量综合管理、能量捕集/转换和储能技术攻关。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（二）</w:t>
      </w:r>
      <w:r>
        <w:rPr>
          <w:rFonts w:hint="default" w:ascii="Times New Roman" w:hAnsi="Times New Roman" w:eastAsia="楷体" w:cs="Times New Roman"/>
          <w:lang w:val="en-US" w:eastAsia="zh-CN"/>
        </w:rPr>
        <w:t>工艺改造路径</w:t>
      </w:r>
      <w:r>
        <w:rPr>
          <w:rFonts w:hint="default" w:ascii="Times New Roman" w:hAnsi="Times New Roman" w:eastAsia="楷体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围绕智能化、体系化、网络化技术趋势，加强先进铸造、锻压、焊接与热处理等基础制造工艺与新技术融合发展，实施智能化、绿色化改造。加快一体化压铸成型、无模铸造、超高强钢热成形、精密冷锻、异质材料焊接、轻质高强合金轻量化、激光热处理等先进工艺技术产业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lang w:eastAsia="zh-CN"/>
        </w:rPr>
        <w:t>）</w:t>
      </w:r>
      <w:r>
        <w:rPr>
          <w:rFonts w:hint="default" w:ascii="Times New Roman" w:hAnsi="Times New Roman" w:eastAsia="楷体" w:cs="Times New Roman"/>
          <w:lang w:val="en-US" w:eastAsia="zh-CN"/>
        </w:rPr>
        <w:t>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加快激光切割机、数据机床、立式加工中心、抛丸机、剪板机、折弯机、平面磨床等关键设备升级改造。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、变压器等重点用能产品设备更新升级改造，改造后须达到强制性能效标准2级及以上。加快应用高效节能电机匹配技术、低速大转矩直驱技术、高速直驱技术、伺服驱动技术等，提高电机系统效率和质量。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EB433F-06EF-428F-8765-A92F13B60F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0398F5B-14A9-459B-8C90-59A08EA2B6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1006863-1FB9-4950-8864-DA99A3C058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0FAE538-491B-4508-8D56-C0A7B359A7D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8700E5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