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附件18</w:t>
      </w:r>
    </w:p>
    <w:p>
      <w:pP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机器人和数控机床产业链绿色化升级改造实施指南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工业机器人、机器人关键部件、专用数控机床等重点产品生产过程等绿色化改造。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val="en-US" w:eastAsia="zh-CN"/>
        </w:rPr>
        <w:t>技术升级路径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提升工业机器人、机器人关键部件、专用数控机床等重点产品等绿色化水平，加快新型齿轮传动装置轻量化制造技术、高端超声加工与超精密加工复合等关键技术攻关。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（二）工艺改造路径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加快推广</w:t>
      </w:r>
      <w:r>
        <w:rPr>
          <w:rFonts w:hint="default" w:ascii="Times New Roman" w:hAnsi="Times New Roman" w:cs="Times New Roman"/>
        </w:rPr>
        <w:t>机器人</w:t>
      </w:r>
      <w:r>
        <w:rPr>
          <w:rFonts w:hint="default" w:ascii="Times New Roman" w:hAnsi="Times New Roman" w:cs="Times New Roman"/>
          <w:lang w:val="en-US" w:eastAsia="zh-CN"/>
        </w:rPr>
        <w:t>和数控机床</w:t>
      </w:r>
      <w:r>
        <w:rPr>
          <w:rFonts w:hint="default" w:ascii="Times New Roman" w:hAnsi="Times New Roman" w:cs="Times New Roman"/>
        </w:rPr>
        <w:t>轻量化设计技术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一体化压铸成形、异质材料焊接、轻质高强合金轻量化、激光热处理等先进近净成形工艺技术产业化应用，加强焊接与热处理等基础制造工艺与新技术融合发展。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新型储能、智慧能源管控等一体化系统的工业绿色微电网，优化能源结构，推进多能高效互补利用，提高终端用能新型能源比重。鼓励建立设备、系统、工厂三层级能效诊断系统，建设数字化能碳管理中心，推动能碳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加快基础零件等关键生产设备升级改造。实施电机、风机、泵、空压机、变压器等重点用能产品设备更新升级改造，改造后须达到强制性能效标准2级及以上。</w:t>
      </w:r>
      <w:r>
        <w:rPr>
          <w:rFonts w:hint="default" w:ascii="Times New Roman" w:hAnsi="Times New Roman" w:cs="Times New Roman"/>
        </w:rPr>
        <w:t>加快应用高效节能电机匹配技术、低速大转矩直驱技术、高速直驱技术、伺服驱动技术等，提高电机系统效率和质量。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AA3DF8-0A32-434A-AAD3-8852BE7409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B671618-4C64-43BE-8EFE-04E65C2139D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AE171D6-0C5F-4B78-9421-48FBD8FAB9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CFC516A-F3AF-48AA-B6E5-C6949D4B5606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DFE2374"/>
    <w:rsid w:val="72705912"/>
    <w:rsid w:val="74B67393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autoRedefine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autoRedefine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