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both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附件17</w:t>
      </w:r>
    </w:p>
    <w:p>
      <w:pP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先进农机装备产业链绿色化升级改造实施指南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动力机械、收获机械、栽播机械、设施农业装备、丘陵山区机械等重点产品生产过程绿色化改造。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lang w:eastAsia="zh-CN"/>
        </w:rPr>
        <w:t>）</w:t>
      </w:r>
      <w:r>
        <w:rPr>
          <w:rFonts w:hint="default" w:ascii="Times New Roman" w:hAnsi="Times New Roman" w:eastAsia="楷体" w:cs="Times New Roman"/>
          <w:lang w:val="en-US" w:eastAsia="zh-CN"/>
        </w:rPr>
        <w:t>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 w:eastAsia="zh-CN"/>
        </w:rPr>
        <w:t>推行农机装备轻量化、通用化等绿色设计、加强专用高精度传感器、液压控制、电控系统、智能化控制系统等关键核心技术攻关。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</w:rPr>
        <w:t>）</w:t>
      </w:r>
      <w:r>
        <w:rPr>
          <w:rFonts w:hint="default" w:ascii="Times New Roman" w:hAnsi="Times New Roman" w:eastAsia="楷体" w:cs="Times New Roman"/>
          <w:lang w:val="en-US" w:eastAsia="zh-CN"/>
        </w:rPr>
        <w:t>工艺改造路径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推广应用</w:t>
      </w:r>
      <w:r>
        <w:rPr>
          <w:rFonts w:hint="default" w:ascii="Times New Roman" w:hAnsi="Times New Roman" w:cs="Times New Roman"/>
        </w:rPr>
        <w:t>绿色热处理、先进焊接、低碳减污表面工程、高效切削加工等工艺技术</w:t>
      </w:r>
      <w:r>
        <w:rPr>
          <w:rFonts w:hint="default" w:ascii="Times New Roman" w:hAnsi="Times New Roman" w:cs="Times New Roman"/>
          <w:lang w:eastAsia="zh-CN"/>
        </w:rPr>
        <w:t>。</w:t>
      </w:r>
      <w:r>
        <w:rPr>
          <w:rFonts w:hint="default" w:ascii="Times New Roman" w:hAnsi="Times New Roman" w:cs="Times New Roman"/>
        </w:rPr>
        <w:t>针对高碳排放重点流程环节、重点产品，推广多元化技术升级和清洁化转型模式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激光切割机、数据机床、立式加工中心、抛丸机、剪板机、折弯机、平面磨床等关键设备升级改造。实施电机、风机、泵、空压机、变压器等重点用能产品设备更新升级改造，改造后须达到强制性能效标准2级及以上。</w:t>
      </w:r>
      <w:r>
        <w:rPr>
          <w:rFonts w:hint="default" w:ascii="Times New Roman" w:hAnsi="Times New Roman" w:cs="Times New Roman"/>
        </w:rPr>
        <w:t>加快应用高效节能电机匹配技术、低速大转矩直驱技术、高速直驱技术、伺服驱动技术等，提高电机系统效率和质量。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F651C6-0930-43CA-80BD-2DFE65A81C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A915110-5248-4F85-B517-41E61CCBE35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16760FC-E02A-4338-A24D-315B690939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0041702-0C81-4831-8B70-51A54487988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72A5756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